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Parents,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On Wednesday 16th November your child will be participating in the first International Positive Noticing Day.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As part of the day we will be giving children the opportunity to write positive labels for one another. We will be talking about the importance of Positive noticing and recognition whilst sharing some examples of when being positively noticed has mattered to us.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Children will be told that they can share their label or keep them private. If they do share the label with you please give them the opportunity to discuss it and reinforce or otherwise celebrate the positive recognition that they have received. We hope you can enjoy this day with us.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You’ll find more information about Positive Noticing and other positive behaviour management strategies at </w:t>
      </w:r>
      <w:hyperlink r:id="rId6">
        <w:r w:rsidDel="00000000" w:rsidR="00000000" w:rsidRPr="00000000">
          <w:rPr>
            <w:color w:val="1155cc"/>
            <w:u w:val="single"/>
            <w:rtl w:val="0"/>
          </w:rPr>
          <w:t xml:space="preserve">www.WhenTheAdultsChange.com/Parents</w:t>
        </w:r>
      </w:hyperlink>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Headteacher.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hentheadultschange.com/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